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276C4" w14:textId="1241B041" w:rsidR="003B44BB" w:rsidRPr="005A1DC6"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5A1DC6">
        <w:rPr>
          <w:rFonts w:cs="Arial"/>
          <w:bCs/>
          <w:sz w:val="24"/>
          <w:szCs w:val="24"/>
        </w:rPr>
        <w:t>3GPP TSG RAN WG1 Meeting #</w:t>
      </w:r>
      <w:r w:rsidR="00A860F9" w:rsidRPr="005A1DC6">
        <w:rPr>
          <w:rFonts w:eastAsia="MS Mincho" w:cs="Arial"/>
          <w:bCs/>
          <w:sz w:val="24"/>
          <w:szCs w:val="24"/>
          <w:lang w:eastAsia="ja-JP"/>
        </w:rPr>
        <w:t>86</w:t>
      </w:r>
      <w:r w:rsidR="00AA32DC" w:rsidRPr="005A1DC6">
        <w:rPr>
          <w:rFonts w:eastAsia="MS Mincho" w:cs="Arial"/>
          <w:bCs/>
          <w:sz w:val="24"/>
          <w:szCs w:val="24"/>
          <w:lang w:eastAsia="ja-JP"/>
        </w:rPr>
        <w:t>bis</w:t>
      </w:r>
      <w:r w:rsidRPr="005A1DC6">
        <w:rPr>
          <w:rFonts w:eastAsia="MS Mincho" w:cs="Arial"/>
          <w:bCs/>
          <w:sz w:val="24"/>
          <w:szCs w:val="24"/>
          <w:lang w:eastAsia="ja-JP"/>
        </w:rPr>
        <w:tab/>
      </w:r>
      <w:r w:rsidRPr="005A1DC6">
        <w:rPr>
          <w:rFonts w:eastAsia="MS Mincho" w:cs="Arial"/>
          <w:bCs/>
          <w:sz w:val="24"/>
          <w:szCs w:val="24"/>
          <w:lang w:eastAsia="ja-JP"/>
        </w:rPr>
        <w:tab/>
      </w:r>
      <w:bookmarkStart w:id="2" w:name="_GoBack"/>
      <w:r w:rsidR="00B1069C" w:rsidRPr="005A1DC6">
        <w:rPr>
          <w:rFonts w:cs="Arial"/>
          <w:bCs/>
          <w:sz w:val="24"/>
          <w:szCs w:val="24"/>
        </w:rPr>
        <w:t>R1-</w:t>
      </w:r>
      <w:r w:rsidR="00483FD2" w:rsidRPr="005A1DC6">
        <w:rPr>
          <w:rFonts w:cs="Arial"/>
          <w:bCs/>
          <w:sz w:val="24"/>
          <w:szCs w:val="24"/>
        </w:rPr>
        <w:t>1609727</w:t>
      </w:r>
      <w:bookmarkEnd w:id="2"/>
    </w:p>
    <w:p w14:paraId="0802DB1A" w14:textId="77777777" w:rsidR="003B44BB" w:rsidRPr="005A1DC6" w:rsidRDefault="00AF05DC" w:rsidP="003B44BB">
      <w:pPr>
        <w:pStyle w:val="Header"/>
        <w:rPr>
          <w:rFonts w:eastAsia="MS Mincho" w:cs="Arial"/>
          <w:bCs/>
          <w:sz w:val="24"/>
          <w:szCs w:val="24"/>
          <w:lang w:val="en-US" w:eastAsia="ja-JP"/>
        </w:rPr>
      </w:pPr>
      <w:r w:rsidRPr="005A1DC6">
        <w:rPr>
          <w:rFonts w:eastAsia="MS Mincho" w:cs="Arial"/>
          <w:bCs/>
          <w:sz w:val="24"/>
          <w:szCs w:val="24"/>
          <w:lang w:val="en-US" w:eastAsia="ja-JP"/>
        </w:rPr>
        <w:t>Lisboa</w:t>
      </w:r>
      <w:r w:rsidR="00895B1D" w:rsidRPr="005A1DC6">
        <w:rPr>
          <w:rFonts w:eastAsia="MS Mincho" w:cs="Arial"/>
          <w:bCs/>
          <w:sz w:val="24"/>
          <w:szCs w:val="24"/>
          <w:lang w:val="en-US" w:eastAsia="ja-JP"/>
        </w:rPr>
        <w:t xml:space="preserve">, </w:t>
      </w:r>
      <w:r w:rsidRPr="005A1DC6">
        <w:rPr>
          <w:rFonts w:eastAsia="MS Mincho" w:cs="Arial"/>
          <w:bCs/>
          <w:sz w:val="24"/>
          <w:szCs w:val="24"/>
          <w:lang w:val="en-US" w:eastAsia="ja-JP"/>
        </w:rPr>
        <w:t>Portugal</w:t>
      </w:r>
      <w:r w:rsidR="003B44BB" w:rsidRPr="005A1DC6">
        <w:rPr>
          <w:rFonts w:eastAsia="MS Mincho" w:cs="Arial"/>
          <w:bCs/>
          <w:sz w:val="24"/>
          <w:szCs w:val="24"/>
          <w:lang w:val="en-US" w:eastAsia="ja-JP"/>
        </w:rPr>
        <w:t xml:space="preserve">, </w:t>
      </w:r>
      <w:r w:rsidRPr="005A1DC6">
        <w:rPr>
          <w:rFonts w:eastAsia="MS Mincho" w:cs="Arial"/>
          <w:bCs/>
          <w:sz w:val="24"/>
          <w:szCs w:val="24"/>
          <w:lang w:val="en-US" w:eastAsia="ja-JP"/>
        </w:rPr>
        <w:t>10</w:t>
      </w:r>
      <w:r w:rsidRPr="005A1DC6">
        <w:rPr>
          <w:rFonts w:eastAsia="MS Mincho" w:cs="Arial"/>
          <w:bCs/>
          <w:sz w:val="24"/>
          <w:szCs w:val="24"/>
          <w:vertAlign w:val="superscript"/>
          <w:lang w:val="en-US" w:eastAsia="ja-JP"/>
        </w:rPr>
        <w:t>th</w:t>
      </w:r>
      <w:r w:rsidRPr="005A1DC6">
        <w:rPr>
          <w:rFonts w:eastAsia="MS Mincho" w:cs="Arial"/>
          <w:bCs/>
          <w:sz w:val="24"/>
          <w:szCs w:val="24"/>
          <w:lang w:val="en-US" w:eastAsia="ja-JP"/>
        </w:rPr>
        <w:t xml:space="preserve"> </w:t>
      </w:r>
      <w:r w:rsidR="003B44BB" w:rsidRPr="005A1DC6">
        <w:rPr>
          <w:rFonts w:eastAsia="MS Mincho" w:cs="Arial"/>
          <w:bCs/>
          <w:sz w:val="24"/>
          <w:szCs w:val="24"/>
          <w:lang w:val="en-US" w:eastAsia="ja-JP"/>
        </w:rPr>
        <w:t xml:space="preserve">- </w:t>
      </w:r>
      <w:r w:rsidRPr="005A1DC6">
        <w:rPr>
          <w:rFonts w:eastAsia="MS Mincho" w:cs="Arial"/>
          <w:bCs/>
          <w:sz w:val="24"/>
          <w:szCs w:val="24"/>
          <w:lang w:val="en-US" w:eastAsia="ja-JP"/>
        </w:rPr>
        <w:t>14</w:t>
      </w:r>
      <w:r w:rsidRPr="005A1DC6">
        <w:rPr>
          <w:rFonts w:eastAsia="MS Mincho" w:cs="Arial"/>
          <w:bCs/>
          <w:sz w:val="24"/>
          <w:szCs w:val="24"/>
          <w:vertAlign w:val="superscript"/>
          <w:lang w:val="en-US" w:eastAsia="ja-JP"/>
        </w:rPr>
        <w:t>th</w:t>
      </w:r>
      <w:r w:rsidRPr="005A1DC6">
        <w:rPr>
          <w:rFonts w:eastAsia="MS Mincho" w:cs="Arial"/>
          <w:bCs/>
          <w:sz w:val="24"/>
          <w:szCs w:val="24"/>
          <w:lang w:val="en-US" w:eastAsia="ja-JP"/>
        </w:rPr>
        <w:t xml:space="preserve"> October </w:t>
      </w:r>
      <w:r w:rsidR="003B44BB" w:rsidRPr="005A1DC6">
        <w:rPr>
          <w:rFonts w:eastAsia="MS Mincho" w:cs="Arial"/>
          <w:bCs/>
          <w:sz w:val="24"/>
          <w:szCs w:val="24"/>
          <w:lang w:val="en-US" w:eastAsia="ja-JP"/>
        </w:rPr>
        <w:t>201</w:t>
      </w:r>
      <w:r w:rsidR="008F4B7E" w:rsidRPr="005A1DC6">
        <w:rPr>
          <w:rFonts w:eastAsia="MS Mincho" w:cs="Arial"/>
          <w:bCs/>
          <w:sz w:val="24"/>
          <w:szCs w:val="24"/>
          <w:lang w:val="en-US" w:eastAsia="ja-JP"/>
        </w:rPr>
        <w:t>6</w:t>
      </w:r>
    </w:p>
    <w:p w14:paraId="709C3A21" w14:textId="77777777" w:rsidR="00005DBD" w:rsidRPr="005A1DC6" w:rsidRDefault="00005DBD" w:rsidP="00005DBD">
      <w:pPr>
        <w:pStyle w:val="FootnoteText"/>
        <w:rPr>
          <w:lang w:val="en-US"/>
        </w:rPr>
      </w:pPr>
    </w:p>
    <w:p w14:paraId="346EE67C" w14:textId="77777777" w:rsidR="00005DBD" w:rsidRPr="005A1DC6" w:rsidRDefault="00005DBD" w:rsidP="00005DBD">
      <w:pPr>
        <w:pStyle w:val="TdocHeader2"/>
        <w:jc w:val="left"/>
        <w:rPr>
          <w:sz w:val="20"/>
          <w:lang w:val="en-US"/>
        </w:rPr>
      </w:pPr>
      <w:r w:rsidRPr="005A1DC6">
        <w:rPr>
          <w:sz w:val="20"/>
          <w:lang w:val="en-US"/>
        </w:rPr>
        <w:t xml:space="preserve">Source: </w:t>
      </w:r>
      <w:r w:rsidRPr="005A1DC6">
        <w:rPr>
          <w:sz w:val="20"/>
          <w:lang w:val="en-US"/>
        </w:rPr>
        <w:tab/>
        <w:t>Ericsson</w:t>
      </w:r>
    </w:p>
    <w:p w14:paraId="1D8CE0DD" w14:textId="3B528CD0" w:rsidR="00005DBD" w:rsidRPr="005A1DC6" w:rsidRDefault="00005DBD" w:rsidP="00005DBD">
      <w:pPr>
        <w:pStyle w:val="TdocHeader2"/>
        <w:jc w:val="left"/>
        <w:rPr>
          <w:sz w:val="20"/>
          <w:lang w:val="en-US"/>
        </w:rPr>
      </w:pPr>
      <w:r w:rsidRPr="005A1DC6">
        <w:rPr>
          <w:sz w:val="20"/>
          <w:lang w:val="en-US"/>
        </w:rPr>
        <w:t>Title:</w:t>
      </w:r>
      <w:bookmarkStart w:id="3" w:name="Title"/>
      <w:bookmarkEnd w:id="3"/>
      <w:r w:rsidRPr="005A1DC6">
        <w:rPr>
          <w:sz w:val="20"/>
          <w:lang w:val="en-US"/>
        </w:rPr>
        <w:tab/>
      </w:r>
      <w:r w:rsidR="00420711" w:rsidRPr="005A1DC6">
        <w:rPr>
          <w:sz w:val="20"/>
          <w:lang w:val="en-US"/>
        </w:rPr>
        <w:t>Pools for V2X</w:t>
      </w:r>
    </w:p>
    <w:p w14:paraId="409B5281" w14:textId="7D137192" w:rsidR="00005DBD" w:rsidRPr="00483FD2" w:rsidRDefault="00005DBD" w:rsidP="00005DBD">
      <w:pPr>
        <w:pStyle w:val="TdocHeader2"/>
        <w:jc w:val="left"/>
        <w:rPr>
          <w:sz w:val="20"/>
          <w:lang w:val="en-US"/>
        </w:rPr>
      </w:pPr>
      <w:r w:rsidRPr="005A1DC6">
        <w:rPr>
          <w:sz w:val="20"/>
          <w:lang w:val="en-US"/>
        </w:rPr>
        <w:t>Agenda Item:</w:t>
      </w:r>
      <w:r w:rsidRPr="005A1DC6">
        <w:rPr>
          <w:sz w:val="20"/>
          <w:lang w:val="en-US"/>
        </w:rPr>
        <w:tab/>
      </w:r>
      <w:r w:rsidR="00B1069C" w:rsidRPr="005A1DC6">
        <w:rPr>
          <w:rFonts w:cs="Arial"/>
          <w:color w:val="312E25"/>
          <w:sz w:val="20"/>
          <w:szCs w:val="18"/>
          <w:lang w:eastAsia="sv-SE"/>
        </w:rPr>
        <w:t>7.2.</w:t>
      </w:r>
      <w:r w:rsidR="00483FD2" w:rsidRPr="005A1DC6">
        <w:rPr>
          <w:rFonts w:cs="Arial"/>
          <w:color w:val="312E25"/>
          <w:sz w:val="20"/>
          <w:szCs w:val="18"/>
          <w:lang w:eastAsia="sv-SE"/>
        </w:rPr>
        <w:t>1.2</w:t>
      </w:r>
    </w:p>
    <w:p w14:paraId="21B8FF00" w14:textId="77777777" w:rsidR="00005DBD" w:rsidRPr="007F1723" w:rsidRDefault="00005DBD" w:rsidP="00005DBD">
      <w:pPr>
        <w:pStyle w:val="TdocHeader2"/>
        <w:jc w:val="left"/>
        <w:rPr>
          <w:sz w:val="20"/>
          <w:lang w:val="en-US"/>
        </w:rPr>
      </w:pPr>
      <w:r w:rsidRPr="00483FD2">
        <w:rPr>
          <w:sz w:val="20"/>
          <w:lang w:val="en-US"/>
        </w:rPr>
        <w:t>Document for:</w:t>
      </w:r>
      <w:r w:rsidRPr="00483FD2">
        <w:rPr>
          <w:sz w:val="20"/>
          <w:lang w:val="en-US"/>
        </w:rPr>
        <w:tab/>
        <w:t>Discussion and Decision</w:t>
      </w:r>
    </w:p>
    <w:p w14:paraId="511B5833" w14:textId="77777777" w:rsidR="0078373C" w:rsidRPr="004306F8" w:rsidRDefault="00D77223" w:rsidP="004306F8">
      <w:pPr>
        <w:pStyle w:val="Heading1"/>
      </w:pPr>
      <w:bookmarkStart w:id="4" w:name="_Ref446688366"/>
      <w:bookmarkEnd w:id="0"/>
      <w:bookmarkEnd w:id="1"/>
      <w:r w:rsidRPr="007F1723">
        <w:t>Introduction</w:t>
      </w:r>
      <w:bookmarkEnd w:id="4"/>
    </w:p>
    <w:p w14:paraId="21137505" w14:textId="77777777" w:rsidR="006924FD" w:rsidRPr="00CF5DE3" w:rsidRDefault="00357232" w:rsidP="00BA363D">
      <w:pPr>
        <w:pStyle w:val="BodyText"/>
        <w:spacing w:after="240"/>
        <w:jc w:val="both"/>
        <w:rPr>
          <w:rFonts w:asciiTheme="minorHAnsi" w:hAnsiTheme="minorHAnsi" w:cstheme="minorHAnsi"/>
          <w:spacing w:val="2"/>
          <w:sz w:val="20"/>
          <w:szCs w:val="20"/>
        </w:rPr>
      </w:pPr>
      <w:r w:rsidRPr="00CF5DE3">
        <w:rPr>
          <w:rFonts w:asciiTheme="minorHAnsi" w:hAnsiTheme="minorHAnsi" w:cstheme="minorHAnsi"/>
          <w:spacing w:val="2"/>
          <w:sz w:val="20"/>
          <w:szCs w:val="20"/>
        </w:rPr>
        <w:t>During RAN1#</w:t>
      </w:r>
      <w:r w:rsidR="00D31A62" w:rsidRPr="00CF5DE3">
        <w:rPr>
          <w:rFonts w:asciiTheme="minorHAnsi" w:hAnsiTheme="minorHAnsi" w:cstheme="minorHAnsi"/>
          <w:spacing w:val="2"/>
          <w:sz w:val="20"/>
          <w:szCs w:val="20"/>
        </w:rPr>
        <w:t>86</w:t>
      </w:r>
      <w:r w:rsidRPr="00CF5DE3">
        <w:rPr>
          <w:rFonts w:asciiTheme="minorHAnsi" w:hAnsiTheme="minorHAnsi" w:cstheme="minorHAnsi"/>
          <w:spacing w:val="2"/>
          <w:sz w:val="20"/>
          <w:szCs w:val="20"/>
        </w:rPr>
        <w:t>, the following was agreed</w:t>
      </w:r>
      <w:r w:rsidR="00BB5340" w:rsidRPr="00CF5DE3">
        <w:rPr>
          <w:rFonts w:asciiTheme="minorHAnsi" w:hAnsiTheme="minorHAnsi" w:cstheme="minorHAnsi"/>
          <w:spacing w:val="2"/>
          <w:sz w:val="20"/>
          <w:szCs w:val="20"/>
        </w:rPr>
        <w:t xml:space="preserve"> </w:t>
      </w:r>
      <w:r w:rsidR="003C14EE" w:rsidRPr="00CF5DE3">
        <w:rPr>
          <w:rFonts w:asciiTheme="minorHAnsi" w:hAnsiTheme="minorHAnsi" w:cstheme="minorHAnsi"/>
          <w:spacing w:val="2"/>
          <w:sz w:val="20"/>
          <w:szCs w:val="20"/>
        </w:rPr>
        <w:fldChar w:fldCharType="begin"/>
      </w:r>
      <w:r w:rsidR="003C14EE" w:rsidRPr="00CF5DE3">
        <w:rPr>
          <w:rFonts w:asciiTheme="minorHAnsi" w:hAnsiTheme="minorHAnsi" w:cstheme="minorHAnsi"/>
          <w:spacing w:val="2"/>
          <w:sz w:val="20"/>
          <w:szCs w:val="20"/>
        </w:rPr>
        <w:instrText xml:space="preserve"> REF _Ref458436874 \r \h </w:instrText>
      </w:r>
      <w:r w:rsidR="001C75E2" w:rsidRPr="00CF5DE3">
        <w:rPr>
          <w:rFonts w:asciiTheme="minorHAnsi" w:hAnsiTheme="minorHAnsi" w:cstheme="minorHAnsi"/>
          <w:spacing w:val="2"/>
          <w:sz w:val="20"/>
          <w:szCs w:val="20"/>
        </w:rPr>
        <w:instrText xml:space="preserve"> \* MERGEFORMAT </w:instrText>
      </w:r>
      <w:r w:rsidR="003C14EE" w:rsidRPr="00CF5DE3">
        <w:rPr>
          <w:rFonts w:asciiTheme="minorHAnsi" w:hAnsiTheme="minorHAnsi" w:cstheme="minorHAnsi"/>
          <w:spacing w:val="2"/>
          <w:sz w:val="20"/>
          <w:szCs w:val="20"/>
        </w:rPr>
      </w:r>
      <w:r w:rsidR="003C14EE" w:rsidRPr="00CF5DE3">
        <w:rPr>
          <w:rFonts w:asciiTheme="minorHAnsi" w:hAnsiTheme="minorHAnsi" w:cstheme="minorHAnsi"/>
          <w:spacing w:val="2"/>
          <w:sz w:val="20"/>
          <w:szCs w:val="20"/>
        </w:rPr>
        <w:fldChar w:fldCharType="separate"/>
      </w:r>
      <w:r w:rsidR="003C14EE" w:rsidRPr="00CF5DE3">
        <w:rPr>
          <w:rFonts w:asciiTheme="minorHAnsi" w:hAnsiTheme="minorHAnsi" w:cstheme="minorHAnsi"/>
          <w:spacing w:val="2"/>
          <w:sz w:val="20"/>
          <w:szCs w:val="20"/>
        </w:rPr>
        <w:t>[1]</w:t>
      </w:r>
      <w:r w:rsidR="003C14EE" w:rsidRPr="00CF5DE3">
        <w:rPr>
          <w:rFonts w:asciiTheme="minorHAnsi" w:hAnsiTheme="minorHAnsi" w:cstheme="minorHAnsi"/>
          <w:spacing w:val="2"/>
          <w:sz w:val="20"/>
          <w:szCs w:val="20"/>
        </w:rPr>
        <w:fldChar w:fldCharType="end"/>
      </w:r>
      <w:r w:rsidRPr="00CF5DE3">
        <w:rPr>
          <w:rFonts w:asciiTheme="minorHAnsi" w:hAnsiTheme="minorHAnsi" w:cstheme="minorHAnsi"/>
          <w:spacing w:val="2"/>
          <w:sz w:val="20"/>
          <w:szCs w:val="20"/>
        </w:rPr>
        <w:t>:</w:t>
      </w:r>
      <w:r w:rsidR="006B3F31" w:rsidRPr="00CF5DE3">
        <w:rPr>
          <w:rFonts w:asciiTheme="minorHAnsi" w:hAnsiTheme="minorHAnsi" w:cstheme="minorHAnsi"/>
          <w:spacing w:val="2"/>
          <w:sz w:val="20"/>
          <w:szCs w:val="20"/>
        </w:rPr>
        <w:t xml:space="preserve"> </w:t>
      </w:r>
    </w:p>
    <w:p w14:paraId="652DAFEE" w14:textId="77777777" w:rsidR="00C6066A" w:rsidRPr="000465CA" w:rsidRDefault="00C6066A" w:rsidP="00C6066A">
      <w:pPr>
        <w:rPr>
          <w:rFonts w:eastAsia="MS Mincho"/>
          <w:b/>
          <w:highlight w:val="green"/>
          <w:u w:val="single"/>
          <w:lang w:val="en-US" w:eastAsia="ja-JP"/>
        </w:rPr>
      </w:pPr>
      <w:r w:rsidRPr="000465CA">
        <w:rPr>
          <w:rFonts w:eastAsia="MS Mincho"/>
          <w:b/>
          <w:highlight w:val="green"/>
          <w:u w:val="single"/>
          <w:lang w:val="en-US" w:eastAsia="ja-JP"/>
        </w:rPr>
        <w:t>Agreement:</w:t>
      </w:r>
    </w:p>
    <w:p w14:paraId="24C32A2F" w14:textId="77777777" w:rsidR="00C6066A" w:rsidRDefault="00C6066A" w:rsidP="00C6066A">
      <w:pPr>
        <w:numPr>
          <w:ilvl w:val="0"/>
          <w:numId w:val="23"/>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random selection, including at least all P-UEs which do not have sidelink Rx capability</w:t>
      </w:r>
    </w:p>
    <w:p w14:paraId="6E36160D" w14:textId="77777777" w:rsidR="00C6066A" w:rsidRPr="0056238E" w:rsidRDefault="00C6066A" w:rsidP="00C6066A">
      <w:pPr>
        <w:numPr>
          <w:ilvl w:val="1"/>
          <w:numId w:val="23"/>
        </w:numPr>
        <w:spacing w:after="0"/>
        <w:rPr>
          <w:rFonts w:eastAsia="MS Mincho"/>
          <w:lang w:val="en-US" w:eastAsia="ja-JP"/>
        </w:rPr>
      </w:pPr>
      <w:r>
        <w:rPr>
          <w:rFonts w:eastAsia="MS Mincho"/>
          <w:lang w:val="en-US" w:eastAsia="ja-JP"/>
        </w:rPr>
        <w:t xml:space="preserve">If a P-UE uses random selection, </w:t>
      </w:r>
      <w:r w:rsidRPr="0056238E">
        <w:rPr>
          <w:rFonts w:eastAsia="MS Mincho"/>
          <w:lang w:val="en-US" w:eastAsia="ja-JP"/>
        </w:rPr>
        <w:t xml:space="preserve">it shall only pools in which random selection </w:t>
      </w:r>
      <w:r>
        <w:rPr>
          <w:rFonts w:eastAsia="MS Mincho"/>
          <w:lang w:val="en-US" w:eastAsia="ja-JP"/>
        </w:rPr>
        <w:t xml:space="preserve">by P-UEs </w:t>
      </w:r>
      <w:r w:rsidRPr="0056238E">
        <w:rPr>
          <w:rFonts w:eastAsia="MS Mincho"/>
          <w:lang w:val="en-US" w:eastAsia="ja-JP"/>
        </w:rPr>
        <w:t>is permitted</w:t>
      </w:r>
    </w:p>
    <w:p w14:paraId="2BF8EDC8" w14:textId="77777777" w:rsidR="00C6066A" w:rsidRDefault="00C6066A" w:rsidP="00C6066A">
      <w:pPr>
        <w:numPr>
          <w:ilvl w:val="1"/>
          <w:numId w:val="23"/>
        </w:numPr>
        <w:spacing w:after="0"/>
        <w:rPr>
          <w:rFonts w:eastAsia="MS Mincho"/>
          <w:lang w:val="en-US" w:eastAsia="ja-JP"/>
        </w:rPr>
      </w:pPr>
      <w:r>
        <w:rPr>
          <w:rFonts w:eastAsia="MS Mincho"/>
          <w:lang w:val="en-US" w:eastAsia="ja-JP"/>
        </w:rPr>
        <w:t>It is up to network configuration whether a pool in which random selection by P-UEs is permitted overlaps with other pools</w:t>
      </w:r>
    </w:p>
    <w:p w14:paraId="07C6CB48" w14:textId="77777777" w:rsidR="00C6066A" w:rsidRDefault="00C6066A" w:rsidP="00C6066A">
      <w:pPr>
        <w:numPr>
          <w:ilvl w:val="1"/>
          <w:numId w:val="23"/>
        </w:numPr>
        <w:spacing w:after="0"/>
        <w:rPr>
          <w:rFonts w:eastAsia="MS Mincho"/>
          <w:lang w:val="en-US" w:eastAsia="ja-JP"/>
        </w:rPr>
      </w:pPr>
      <w:r>
        <w:rPr>
          <w:rFonts w:eastAsia="MS Mincho"/>
          <w:lang w:val="en-US" w:eastAsia="ja-JP"/>
        </w:rPr>
        <w:t>The specification supports the possibility to configure pools in which random selection by P-UEs is not permitted</w:t>
      </w:r>
    </w:p>
    <w:p w14:paraId="7071306B" w14:textId="77777777" w:rsidR="00C6066A" w:rsidRDefault="00C6066A" w:rsidP="00C6066A">
      <w:pPr>
        <w:numPr>
          <w:ilvl w:val="0"/>
          <w:numId w:val="23"/>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in a subset of subframes</w:t>
      </w:r>
    </w:p>
    <w:p w14:paraId="415B599B" w14:textId="77777777" w:rsidR="00C6066A" w:rsidRDefault="00C6066A" w:rsidP="00C6066A">
      <w:pPr>
        <w:numPr>
          <w:ilvl w:val="1"/>
          <w:numId w:val="23"/>
        </w:numPr>
        <w:spacing w:after="0"/>
        <w:rPr>
          <w:rFonts w:eastAsia="MS Mincho"/>
          <w:lang w:val="en-US" w:eastAsia="ja-JP"/>
        </w:rPr>
      </w:pPr>
      <w:r>
        <w:rPr>
          <w:rFonts w:eastAsia="MS Mincho"/>
          <w:lang w:val="en-US" w:eastAsia="ja-JP"/>
        </w:rPr>
        <w:t>Details of P-UE partial sensing are FFS</w:t>
      </w:r>
    </w:p>
    <w:p w14:paraId="688955F7" w14:textId="77777777" w:rsidR="00C6066A" w:rsidRDefault="00C6066A" w:rsidP="00C6066A">
      <w:pPr>
        <w:numPr>
          <w:ilvl w:val="2"/>
          <w:numId w:val="23"/>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14:paraId="77B3C995" w14:textId="77777777" w:rsidR="00C6066A" w:rsidRDefault="00C6066A" w:rsidP="00C6066A">
      <w:pPr>
        <w:numPr>
          <w:ilvl w:val="1"/>
          <w:numId w:val="23"/>
        </w:numPr>
        <w:spacing w:after="0"/>
        <w:rPr>
          <w:rFonts w:eastAsia="MS Mincho"/>
          <w:lang w:val="en-US" w:eastAsia="ja-JP"/>
        </w:rPr>
      </w:pPr>
      <w:r>
        <w:rPr>
          <w:rFonts w:eastAsia="MS Mincho"/>
          <w:lang w:val="en-US" w:eastAsia="ja-JP"/>
        </w:rPr>
        <w:t>FFS whether support of partial sensing is mandatory for P-UEs with sidelink Rx capability</w:t>
      </w:r>
    </w:p>
    <w:p w14:paraId="474945B3" w14:textId="77777777" w:rsidR="00C6066A" w:rsidRDefault="00C6066A" w:rsidP="00C6066A">
      <w:pPr>
        <w:numPr>
          <w:ilvl w:val="1"/>
          <w:numId w:val="23"/>
        </w:numPr>
        <w:spacing w:after="0"/>
        <w:rPr>
          <w:rFonts w:eastAsia="MS Mincho"/>
          <w:lang w:val="en-US" w:eastAsia="ja-JP"/>
        </w:rPr>
      </w:pPr>
      <w:r>
        <w:rPr>
          <w:rFonts w:eastAsia="MS Mincho"/>
          <w:lang w:val="en-US" w:eastAsia="ja-JP"/>
        </w:rPr>
        <w:t>FFS under what conditions a P-UE that supports partial sensing uses partial sensing</w:t>
      </w:r>
    </w:p>
    <w:p w14:paraId="6103C582" w14:textId="77777777" w:rsidR="00C6066A" w:rsidRDefault="00C6066A" w:rsidP="00C6066A">
      <w:pPr>
        <w:numPr>
          <w:ilvl w:val="1"/>
          <w:numId w:val="23"/>
        </w:numPr>
        <w:spacing w:after="0"/>
        <w:rPr>
          <w:rFonts w:eastAsia="MS Mincho"/>
          <w:lang w:val="en-US" w:eastAsia="ja-JP"/>
        </w:rPr>
      </w:pPr>
      <w:r>
        <w:rPr>
          <w:rFonts w:eastAsia="MS Mincho"/>
          <w:lang w:val="en-US" w:eastAsia="ja-JP"/>
        </w:rPr>
        <w:t xml:space="preserve">If a P-UE uses partial sensing, </w:t>
      </w:r>
    </w:p>
    <w:p w14:paraId="68BCF220" w14:textId="77777777" w:rsidR="00C6066A" w:rsidRDefault="00C6066A" w:rsidP="00C6066A">
      <w:pPr>
        <w:numPr>
          <w:ilvl w:val="2"/>
          <w:numId w:val="23"/>
        </w:numPr>
        <w:spacing w:after="0"/>
        <w:rPr>
          <w:rFonts w:eastAsia="MS Mincho"/>
          <w:lang w:val="en-US" w:eastAsia="ja-JP"/>
        </w:rPr>
      </w:pPr>
      <w:r>
        <w:rPr>
          <w:rFonts w:eastAsia="MS Mincho"/>
          <w:lang w:val="en-US" w:eastAsia="ja-JP"/>
        </w:rPr>
        <w:t>details of resource pool FFS</w:t>
      </w:r>
    </w:p>
    <w:p w14:paraId="11AE70A6" w14:textId="6203AF65" w:rsidR="006924FD" w:rsidRDefault="00420711">
      <w:pPr>
        <w:pStyle w:val="Heading1"/>
      </w:pPr>
      <w:r>
        <w:t>Pools for V2X</w:t>
      </w:r>
    </w:p>
    <w:p w14:paraId="3EA75813" w14:textId="1B73FA3A" w:rsidR="00420711" w:rsidRDefault="00420711" w:rsidP="002C6A61">
      <w:pPr>
        <w:pStyle w:val="Heading2"/>
      </w:pPr>
      <w:r>
        <w:t>Pools for V2V</w:t>
      </w:r>
    </w:p>
    <w:p w14:paraId="40375269" w14:textId="672E9B67" w:rsidR="002C6A61" w:rsidRDefault="002C6A61" w:rsidP="00CB5C35">
      <w:pPr>
        <w:jc w:val="both"/>
      </w:pPr>
      <w:r>
        <w:t xml:space="preserve">RAN1 has not agreed on any mechanism to facilitate coexistence of UEs using Mode 3 and Mode 4. This is a delicate issue since UEs in Mode 3 are scheduled by the eNB and do not follow any sensing procedure. </w:t>
      </w:r>
      <w:r w:rsidR="00FE2AEC">
        <w:t>Thus, the only way to protect both Mode-3 and Mode-4 UEs is to have them operate on different pools. In our view, the eNB should decide whether Mode 3 and Mode 4 transmissions are not/partially/totally separated.</w:t>
      </w:r>
    </w:p>
    <w:p w14:paraId="0F7F74DA" w14:textId="0C6303FB" w:rsidR="00FE2AEC" w:rsidRDefault="00FE2AEC" w:rsidP="00CB5C35">
      <w:pPr>
        <w:jc w:val="both"/>
      </w:pPr>
      <w:r>
        <w:t>In addition, RAN1 agreed in the past to support both eNB and GNSS sync for UEs in coverage, with the priority between both sync sources decided by the eNB. In contrast, in most cases out of coverage UEs (always using Mode 4) will use GNSS as the sync source. In general, eNB and GNSS sync may not be compatible. Thus, from a sync point of view, it may also be desirable to have the possibility to separate Mode 3 and Mode 4 UEs.</w:t>
      </w:r>
    </w:p>
    <w:p w14:paraId="65328F07" w14:textId="665EC891" w:rsidR="00CB5C35" w:rsidRPr="00CB5C35" w:rsidRDefault="00CB5C35" w:rsidP="00CB5C35">
      <w:pPr>
        <w:jc w:val="both"/>
        <w:rPr>
          <w:b/>
          <w:i/>
        </w:rPr>
      </w:pPr>
      <w:r w:rsidRPr="00CB5C35">
        <w:rPr>
          <w:b/>
          <w:i/>
        </w:rPr>
        <w:t>Proposal:</w:t>
      </w:r>
    </w:p>
    <w:p w14:paraId="6563A497" w14:textId="6C58D8CC" w:rsidR="002C6A61" w:rsidRDefault="002C6A61" w:rsidP="00465F93">
      <w:pPr>
        <w:pStyle w:val="IvDbodytext"/>
        <w:numPr>
          <w:ilvl w:val="0"/>
          <w:numId w:val="22"/>
        </w:numPr>
        <w:jc w:val="both"/>
        <w:rPr>
          <w:rFonts w:asciiTheme="minorHAnsi" w:hAnsiTheme="minorHAnsi" w:cstheme="minorHAnsi"/>
          <w:b/>
          <w:i/>
        </w:rPr>
      </w:pPr>
      <w:r>
        <w:rPr>
          <w:rFonts w:asciiTheme="minorHAnsi" w:hAnsiTheme="minorHAnsi" w:cstheme="minorHAnsi"/>
          <w:b/>
          <w:i/>
        </w:rPr>
        <w:t>Independent pools for Mode 3 transmission and Mode-4 transmission are defined.</w:t>
      </w:r>
    </w:p>
    <w:p w14:paraId="2781FCC0" w14:textId="0FCA0C4A" w:rsidR="004115DA" w:rsidRPr="002C6A61" w:rsidRDefault="004115DA" w:rsidP="00CF5DE3">
      <w:pPr>
        <w:pStyle w:val="IvDbodytext"/>
        <w:numPr>
          <w:ilvl w:val="1"/>
          <w:numId w:val="22"/>
        </w:numPr>
        <w:spacing w:before="0"/>
        <w:jc w:val="both"/>
        <w:rPr>
          <w:rFonts w:asciiTheme="minorHAnsi" w:hAnsiTheme="minorHAnsi" w:cstheme="minorHAnsi"/>
          <w:b/>
          <w:i/>
        </w:rPr>
      </w:pPr>
      <w:r>
        <w:rPr>
          <w:rFonts w:asciiTheme="minorHAnsi" w:hAnsiTheme="minorHAnsi" w:cstheme="minorHAnsi"/>
          <w:b/>
          <w:i/>
        </w:rPr>
        <w:t>The eNB can configure no overlap, partial overlap, or total overlap of Mode 3 and Mode 4 pools.</w:t>
      </w:r>
    </w:p>
    <w:p w14:paraId="1E271D3D" w14:textId="495020EA" w:rsidR="00B2190E" w:rsidRDefault="00B2190E" w:rsidP="002C6A61">
      <w:pPr>
        <w:pStyle w:val="Heading2"/>
      </w:pPr>
      <w:r>
        <w:t>Pools for V2P</w:t>
      </w:r>
    </w:p>
    <w:p w14:paraId="366FAF76" w14:textId="0FF1B6C0" w:rsidR="00F970C5" w:rsidRDefault="00F970C5" w:rsidP="00CF5DE3">
      <w:pPr>
        <w:jc w:val="both"/>
      </w:pPr>
      <w:r>
        <w:t>RAN1 has agreed to support two scheduling modes for P-UEs: random and based on limited sensing.</w:t>
      </w:r>
      <w:r w:rsidR="00AF35B6">
        <w:t xml:space="preserve"> RAN1 has also agreed to support the possibility to prevent </w:t>
      </w:r>
      <w:r w:rsidR="00581B2F">
        <w:t xml:space="preserve">random selection by </w:t>
      </w:r>
      <w:r w:rsidR="00AF35B6">
        <w:t>P-UEs</w:t>
      </w:r>
      <w:r w:rsidR="00581B2F">
        <w:t>. We believe that the simples way to achieve this is to introduce a specific pool for P-UEs using random selection and allow for no/partial/total overlap between this and other pools.</w:t>
      </w:r>
      <w:r w:rsidR="00AF35B6">
        <w:t xml:space="preserve"> </w:t>
      </w:r>
    </w:p>
    <w:p w14:paraId="56DA05D4" w14:textId="77777777" w:rsidR="00CB5C35" w:rsidRPr="00CB5C35" w:rsidRDefault="00CB5C35" w:rsidP="00CB5C35">
      <w:pPr>
        <w:jc w:val="both"/>
        <w:rPr>
          <w:b/>
          <w:i/>
        </w:rPr>
      </w:pPr>
      <w:r w:rsidRPr="00CB5C35">
        <w:rPr>
          <w:b/>
          <w:i/>
        </w:rPr>
        <w:t>Proposal:</w:t>
      </w:r>
    </w:p>
    <w:p w14:paraId="051E80A4" w14:textId="6DF8E493" w:rsidR="00CB5C35" w:rsidRDefault="00CB5C35" w:rsidP="00CB5C35">
      <w:pPr>
        <w:pStyle w:val="IvDbodytext"/>
        <w:numPr>
          <w:ilvl w:val="0"/>
          <w:numId w:val="22"/>
        </w:numPr>
        <w:jc w:val="both"/>
        <w:rPr>
          <w:rFonts w:asciiTheme="minorHAnsi" w:hAnsiTheme="minorHAnsi" w:cstheme="minorHAnsi"/>
          <w:b/>
          <w:i/>
        </w:rPr>
      </w:pPr>
      <w:r>
        <w:rPr>
          <w:rFonts w:asciiTheme="minorHAnsi" w:hAnsiTheme="minorHAnsi" w:cstheme="minorHAnsi"/>
          <w:b/>
          <w:i/>
        </w:rPr>
        <w:t>An independent pool for P-UEs using random resource allocation is defined.</w:t>
      </w:r>
    </w:p>
    <w:p w14:paraId="7E39D942" w14:textId="180DC872" w:rsidR="00CB5C35" w:rsidRPr="002C6A61" w:rsidRDefault="00CB5C35" w:rsidP="00CB5C35">
      <w:pPr>
        <w:pStyle w:val="IvDbodytext"/>
        <w:numPr>
          <w:ilvl w:val="1"/>
          <w:numId w:val="22"/>
        </w:numPr>
        <w:spacing w:before="0"/>
        <w:jc w:val="both"/>
        <w:rPr>
          <w:rFonts w:asciiTheme="minorHAnsi" w:hAnsiTheme="minorHAnsi" w:cstheme="minorHAnsi"/>
          <w:b/>
          <w:i/>
        </w:rPr>
      </w:pPr>
      <w:r>
        <w:rPr>
          <w:rFonts w:asciiTheme="minorHAnsi" w:hAnsiTheme="minorHAnsi" w:cstheme="minorHAnsi"/>
          <w:b/>
          <w:i/>
        </w:rPr>
        <w:t>The eNB can configure no overlap, partial overlap, or total overlap of this and other pools (e.g., Mode 3 and Mode 4 pools).</w:t>
      </w:r>
    </w:p>
    <w:p w14:paraId="46FC9BA5" w14:textId="77777777" w:rsidR="00581B2F" w:rsidRPr="00CF5DE3" w:rsidRDefault="00581B2F" w:rsidP="00CF5DE3">
      <w:pPr>
        <w:jc w:val="both"/>
        <w:rPr>
          <w:lang w:val="en-US"/>
        </w:rPr>
      </w:pPr>
    </w:p>
    <w:p w14:paraId="2B22A472" w14:textId="41C5AB12" w:rsidR="00581B2F" w:rsidRDefault="00581B2F" w:rsidP="00CF5DE3">
      <w:pPr>
        <w:jc w:val="both"/>
      </w:pPr>
      <w:r>
        <w:lastRenderedPageBreak/>
        <w:t xml:space="preserve">For P-UEs using partial sensing, no considerations on pools have been made so far. With our proposal for partial sensing for P-UEs, the degradation introduced by P-UEs with partial sensing and by UEs using full sensing (i.e., Mode 4) is very similar. For this reason, we believe that it is not necessary to separate P-UEs performing partial sensing from Mode-4 UEs. </w:t>
      </w:r>
    </w:p>
    <w:p w14:paraId="3E480094" w14:textId="77777777" w:rsidR="00683531" w:rsidRPr="00CB5C35" w:rsidRDefault="00683531" w:rsidP="00683531">
      <w:pPr>
        <w:jc w:val="both"/>
        <w:rPr>
          <w:b/>
          <w:i/>
        </w:rPr>
      </w:pPr>
      <w:r w:rsidRPr="00CB5C35">
        <w:rPr>
          <w:b/>
          <w:i/>
        </w:rPr>
        <w:t>Proposal:</w:t>
      </w:r>
    </w:p>
    <w:p w14:paraId="72EF84CA" w14:textId="49C345F6" w:rsidR="00C072B6" w:rsidRDefault="00683531" w:rsidP="00C072B6">
      <w:pPr>
        <w:pStyle w:val="IvDbodytext"/>
        <w:numPr>
          <w:ilvl w:val="0"/>
          <w:numId w:val="22"/>
        </w:numPr>
        <w:jc w:val="both"/>
        <w:rPr>
          <w:rFonts w:asciiTheme="minorHAnsi" w:hAnsiTheme="minorHAnsi" w:cstheme="minorHAnsi"/>
          <w:b/>
          <w:i/>
        </w:rPr>
      </w:pPr>
      <w:r>
        <w:rPr>
          <w:rFonts w:asciiTheme="minorHAnsi" w:hAnsiTheme="minorHAnsi" w:cstheme="minorHAnsi"/>
          <w:b/>
          <w:i/>
        </w:rPr>
        <w:t>P-UEs using resource allocation based on limited sensing use the same pool of resources as Mode-4 UEs.</w:t>
      </w:r>
    </w:p>
    <w:p w14:paraId="635FCF79" w14:textId="7434BBAF" w:rsidR="00C072B6" w:rsidRPr="005A1DC6" w:rsidRDefault="00C072B6" w:rsidP="005A1DC6">
      <w:pPr>
        <w:pStyle w:val="IvDbodytext"/>
        <w:jc w:val="both"/>
        <w:rPr>
          <w:rFonts w:asciiTheme="minorHAnsi" w:hAnsiTheme="minorHAnsi" w:cstheme="minorHAnsi"/>
        </w:rPr>
      </w:pPr>
      <w:r>
        <w:rPr>
          <w:rFonts w:asciiTheme="minorHAnsi" w:hAnsiTheme="minorHAnsi" w:cstheme="minorHAnsi"/>
        </w:rPr>
        <w:t>I</w:t>
      </w:r>
      <w:r w:rsidRPr="005A1DC6">
        <w:rPr>
          <w:rFonts w:asciiTheme="minorHAnsi" w:hAnsiTheme="minorHAnsi" w:cstheme="minorHAnsi"/>
        </w:rPr>
        <w:t xml:space="preserve">n </w:t>
      </w:r>
      <w:r>
        <w:rPr>
          <w:rFonts w:asciiTheme="minorHAnsi" w:hAnsiTheme="minorHAnsi" w:cstheme="minorHAnsi"/>
        </w:rPr>
        <w:fldChar w:fldCharType="begin"/>
      </w:r>
      <w:r>
        <w:rPr>
          <w:rFonts w:asciiTheme="minorHAnsi" w:hAnsiTheme="minorHAnsi" w:cstheme="minorHAnsi"/>
        </w:rPr>
        <w:instrText xml:space="preserve"> REF _Ref462928092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we make some additional considerations on pools related to the support for smaller reservation periods.</w:t>
      </w:r>
    </w:p>
    <w:p w14:paraId="51AA485E" w14:textId="77777777" w:rsidR="00D0339F" w:rsidRPr="00744368" w:rsidRDefault="00D0339F" w:rsidP="00D0339F">
      <w:pPr>
        <w:pStyle w:val="Heading1"/>
      </w:pPr>
      <w:r w:rsidRPr="00744368">
        <w:t>Conclusions</w:t>
      </w:r>
      <w:r w:rsidR="00A11B11" w:rsidRPr="00744368">
        <w:t xml:space="preserve"> </w:t>
      </w:r>
    </w:p>
    <w:p w14:paraId="0CA72AA6" w14:textId="77777777" w:rsidR="00974BAB" w:rsidRPr="008A4ECF" w:rsidRDefault="00974BAB" w:rsidP="004C38AA">
      <w:pPr>
        <w:jc w:val="both"/>
      </w:pPr>
      <w:r w:rsidRPr="008A4ECF">
        <w:t>In this paper we have proposed the following</w:t>
      </w:r>
    </w:p>
    <w:p w14:paraId="0BDD1134" w14:textId="77777777" w:rsidR="002A6BDB" w:rsidRPr="00CB5C35" w:rsidRDefault="002A6BDB" w:rsidP="002A6BDB">
      <w:pPr>
        <w:jc w:val="both"/>
        <w:rPr>
          <w:b/>
          <w:i/>
        </w:rPr>
      </w:pPr>
      <w:r w:rsidRPr="00CB5C35">
        <w:rPr>
          <w:b/>
          <w:i/>
        </w:rPr>
        <w:t>Proposal:</w:t>
      </w:r>
    </w:p>
    <w:p w14:paraId="3AE9A4C6" w14:textId="77777777" w:rsidR="002A6BDB" w:rsidRDefault="002A6BDB" w:rsidP="002A6BDB">
      <w:pPr>
        <w:pStyle w:val="IvDbodytext"/>
        <w:numPr>
          <w:ilvl w:val="0"/>
          <w:numId w:val="22"/>
        </w:numPr>
        <w:jc w:val="both"/>
        <w:rPr>
          <w:rFonts w:asciiTheme="minorHAnsi" w:hAnsiTheme="minorHAnsi" w:cstheme="minorHAnsi"/>
          <w:b/>
          <w:i/>
        </w:rPr>
      </w:pPr>
      <w:r>
        <w:rPr>
          <w:rFonts w:asciiTheme="minorHAnsi" w:hAnsiTheme="minorHAnsi" w:cstheme="minorHAnsi"/>
          <w:b/>
          <w:i/>
        </w:rPr>
        <w:t>Independent pools for Mode 3 transmission and Mode-4 transmission are defined.</w:t>
      </w:r>
    </w:p>
    <w:p w14:paraId="30631234" w14:textId="689516D5" w:rsidR="002A6BDB" w:rsidRDefault="002A6BDB" w:rsidP="002A6BDB">
      <w:pPr>
        <w:pStyle w:val="IvDbodytext"/>
        <w:numPr>
          <w:ilvl w:val="1"/>
          <w:numId w:val="22"/>
        </w:numPr>
        <w:spacing w:before="0"/>
        <w:jc w:val="both"/>
        <w:rPr>
          <w:rFonts w:asciiTheme="minorHAnsi" w:hAnsiTheme="minorHAnsi" w:cstheme="minorHAnsi"/>
          <w:b/>
          <w:i/>
        </w:rPr>
      </w:pPr>
      <w:r>
        <w:rPr>
          <w:rFonts w:asciiTheme="minorHAnsi" w:hAnsiTheme="minorHAnsi" w:cstheme="minorHAnsi"/>
          <w:b/>
          <w:i/>
        </w:rPr>
        <w:t>The eNB can configure no overlap, partial overlap, or total overlap of Mode 3 and Mode 4 pools.</w:t>
      </w:r>
    </w:p>
    <w:p w14:paraId="3958BC34" w14:textId="77777777" w:rsidR="002A6BDB" w:rsidRPr="00CB5C35" w:rsidRDefault="002A6BDB" w:rsidP="005A1DC6">
      <w:pPr>
        <w:spacing w:before="240"/>
        <w:jc w:val="both"/>
        <w:rPr>
          <w:b/>
          <w:i/>
        </w:rPr>
      </w:pPr>
      <w:r w:rsidRPr="00CB5C35">
        <w:rPr>
          <w:b/>
          <w:i/>
        </w:rPr>
        <w:t>Proposal:</w:t>
      </w:r>
    </w:p>
    <w:p w14:paraId="1C38F1A2" w14:textId="77777777" w:rsidR="002A6BDB" w:rsidRDefault="002A6BDB" w:rsidP="002A6BDB">
      <w:pPr>
        <w:pStyle w:val="IvDbodytext"/>
        <w:numPr>
          <w:ilvl w:val="0"/>
          <w:numId w:val="22"/>
        </w:numPr>
        <w:jc w:val="both"/>
        <w:rPr>
          <w:rFonts w:asciiTheme="minorHAnsi" w:hAnsiTheme="minorHAnsi" w:cstheme="minorHAnsi"/>
          <w:b/>
          <w:i/>
        </w:rPr>
      </w:pPr>
      <w:r>
        <w:rPr>
          <w:rFonts w:asciiTheme="minorHAnsi" w:hAnsiTheme="minorHAnsi" w:cstheme="minorHAnsi"/>
          <w:b/>
          <w:i/>
        </w:rPr>
        <w:t>An independent pool for P-UEs using random resource allocation is defined.</w:t>
      </w:r>
    </w:p>
    <w:p w14:paraId="4F9A860E" w14:textId="77777777" w:rsidR="002A6BDB" w:rsidRPr="002C6A61" w:rsidRDefault="002A6BDB" w:rsidP="002A6BDB">
      <w:pPr>
        <w:pStyle w:val="IvDbodytext"/>
        <w:numPr>
          <w:ilvl w:val="1"/>
          <w:numId w:val="22"/>
        </w:numPr>
        <w:spacing w:before="0"/>
        <w:jc w:val="both"/>
        <w:rPr>
          <w:rFonts w:asciiTheme="minorHAnsi" w:hAnsiTheme="minorHAnsi" w:cstheme="minorHAnsi"/>
          <w:b/>
          <w:i/>
        </w:rPr>
      </w:pPr>
      <w:r>
        <w:rPr>
          <w:rFonts w:asciiTheme="minorHAnsi" w:hAnsiTheme="minorHAnsi" w:cstheme="minorHAnsi"/>
          <w:b/>
          <w:i/>
        </w:rPr>
        <w:t>The eNB can configure no overlap, partial overlap, or total overlap of this and other pools (e.g., Mode 3 and Mode 4 pools).</w:t>
      </w:r>
    </w:p>
    <w:p w14:paraId="60162CCB" w14:textId="77777777" w:rsidR="002A6BDB" w:rsidRPr="00CB5C35" w:rsidRDefault="002A6BDB" w:rsidP="002A6BDB">
      <w:pPr>
        <w:jc w:val="both"/>
        <w:rPr>
          <w:b/>
          <w:i/>
        </w:rPr>
      </w:pPr>
      <w:r w:rsidRPr="00CB5C35">
        <w:rPr>
          <w:b/>
          <w:i/>
        </w:rPr>
        <w:t>Proposal:</w:t>
      </w:r>
    </w:p>
    <w:p w14:paraId="3A99CCF6" w14:textId="49351F2F" w:rsidR="002A6BDB" w:rsidRPr="005A1DC6" w:rsidRDefault="002A6BDB" w:rsidP="005A1DC6">
      <w:pPr>
        <w:pStyle w:val="IvDbodytext"/>
        <w:numPr>
          <w:ilvl w:val="0"/>
          <w:numId w:val="22"/>
        </w:numPr>
        <w:jc w:val="both"/>
        <w:rPr>
          <w:rFonts w:asciiTheme="minorHAnsi" w:hAnsiTheme="minorHAnsi" w:cstheme="minorHAnsi"/>
          <w:b/>
          <w:i/>
        </w:rPr>
      </w:pPr>
      <w:r>
        <w:rPr>
          <w:rFonts w:asciiTheme="minorHAnsi" w:hAnsiTheme="minorHAnsi" w:cstheme="minorHAnsi"/>
          <w:b/>
          <w:i/>
        </w:rPr>
        <w:t>P-UEs using resource allocation based on limited sensing use the same pool of resources as Mode-4 UEs.</w:t>
      </w:r>
    </w:p>
    <w:p w14:paraId="76EF5E07" w14:textId="77777777" w:rsidR="009A1074" w:rsidRPr="00DA1475" w:rsidRDefault="00C02A80" w:rsidP="00856691">
      <w:pPr>
        <w:pStyle w:val="Heading1"/>
      </w:pPr>
      <w:r w:rsidRPr="00DA1475">
        <w:t>References</w:t>
      </w:r>
    </w:p>
    <w:p w14:paraId="57F72A21" w14:textId="00630DFA" w:rsidR="00FE6265" w:rsidRPr="005A1DC6" w:rsidRDefault="00BB5340" w:rsidP="008A2505">
      <w:pPr>
        <w:numPr>
          <w:ilvl w:val="0"/>
          <w:numId w:val="7"/>
        </w:numPr>
        <w:ind w:hanging="720"/>
      </w:pPr>
      <w:bookmarkStart w:id="5" w:name="_Ref458436874"/>
      <w:bookmarkStart w:id="6" w:name="_Ref442446938"/>
      <w:r w:rsidRPr="005A1DC6">
        <w:rPr>
          <w:color w:val="312E25"/>
          <w:lang w:eastAsia="sv-SE"/>
        </w:rPr>
        <w:t>RAN1#</w:t>
      </w:r>
      <w:r w:rsidR="00EE00BD" w:rsidRPr="005A1DC6">
        <w:rPr>
          <w:color w:val="312E25"/>
          <w:lang w:eastAsia="sv-SE"/>
        </w:rPr>
        <w:t>86</w:t>
      </w:r>
      <w:r w:rsidRPr="005A1DC6">
        <w:rPr>
          <w:color w:val="312E25"/>
          <w:lang w:eastAsia="sv-SE"/>
        </w:rPr>
        <w:t>, Chairman’s notes</w:t>
      </w:r>
      <w:bookmarkEnd w:id="5"/>
    </w:p>
    <w:p w14:paraId="731BF101" w14:textId="3C7D0E8C" w:rsidR="00581B2F" w:rsidRPr="005A1DC6" w:rsidRDefault="002A6BDB" w:rsidP="005A1DC6">
      <w:pPr>
        <w:numPr>
          <w:ilvl w:val="0"/>
          <w:numId w:val="7"/>
        </w:numPr>
        <w:ind w:hanging="720"/>
      </w:pPr>
      <w:r w:rsidRPr="005A1DC6">
        <w:rPr>
          <w:color w:val="312E25"/>
          <w:lang w:eastAsia="sv-SE"/>
        </w:rPr>
        <w:t>R1-1609724</w:t>
      </w:r>
      <w:r w:rsidR="00D45E8B" w:rsidRPr="005A1DC6">
        <w:rPr>
          <w:color w:val="312E25"/>
          <w:lang w:eastAsia="sv-SE"/>
        </w:rPr>
        <w:t>, “Partial sensing for V2P”, Ericsson</w:t>
      </w:r>
    </w:p>
    <w:p w14:paraId="2A7279A9" w14:textId="3FDCE1C9" w:rsidR="00C072B6" w:rsidRPr="005A1DC6" w:rsidRDefault="002A6BDB" w:rsidP="005A1DC6">
      <w:pPr>
        <w:numPr>
          <w:ilvl w:val="0"/>
          <w:numId w:val="7"/>
        </w:numPr>
        <w:ind w:hanging="720"/>
      </w:pPr>
      <w:bookmarkStart w:id="7" w:name="_Ref462928092"/>
      <w:r w:rsidRPr="005A1DC6">
        <w:t>R1-1609734</w:t>
      </w:r>
      <w:r w:rsidR="00C072B6" w:rsidRPr="005A1DC6">
        <w:t>, “Support for smaller resource reservation periods in V2X”, Ericsson</w:t>
      </w:r>
      <w:bookmarkEnd w:id="7"/>
    </w:p>
    <w:bookmarkEnd w:id="6"/>
    <w:p w14:paraId="401809EE" w14:textId="77777777" w:rsidR="008266A1" w:rsidRPr="008266A1" w:rsidRDefault="008266A1" w:rsidP="008266A1">
      <w:pPr>
        <w:rPr>
          <w:lang w:val="en-US"/>
        </w:rPr>
      </w:pPr>
    </w:p>
    <w:sectPr w:rsidR="008266A1" w:rsidRPr="008266A1"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648F6" w14:textId="77777777" w:rsidR="000D1AAF" w:rsidRDefault="000D1AAF">
      <w:r>
        <w:separator/>
      </w:r>
    </w:p>
  </w:endnote>
  <w:endnote w:type="continuationSeparator" w:id="0">
    <w:p w14:paraId="4BD55D43" w14:textId="77777777" w:rsidR="000D1AAF" w:rsidRDefault="000D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71153" w14:textId="77777777" w:rsidR="001C62A5" w:rsidRDefault="001C6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EB74" w14:textId="77777777" w:rsidR="001C62A5" w:rsidRDefault="001C6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7A7A" w14:textId="77777777" w:rsidR="001C62A5" w:rsidRDefault="001C6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ECAD9" w14:textId="77777777" w:rsidR="000D1AAF" w:rsidRDefault="000D1AAF">
      <w:r>
        <w:separator/>
      </w:r>
    </w:p>
  </w:footnote>
  <w:footnote w:type="continuationSeparator" w:id="0">
    <w:p w14:paraId="7426DAEE" w14:textId="77777777" w:rsidR="000D1AAF" w:rsidRDefault="000D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C7FD9" w14:textId="77777777" w:rsidR="001C62A5" w:rsidRDefault="001C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316D6" w14:textId="77777777" w:rsidR="001C62A5" w:rsidRDefault="001C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1C85" w14:textId="77777777" w:rsidR="001C62A5" w:rsidRDefault="001C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BF2FAB"/>
    <w:multiLevelType w:val="hybridMultilevel"/>
    <w:tmpl w:val="87F2CE04"/>
    <w:lvl w:ilvl="0" w:tplc="2452CF9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2609D"/>
    <w:multiLevelType w:val="hybridMultilevel"/>
    <w:tmpl w:val="4F3E56CC"/>
    <w:lvl w:ilvl="0" w:tplc="0C08F4D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E44BE"/>
    <w:multiLevelType w:val="hybridMultilevel"/>
    <w:tmpl w:val="03D0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404AF"/>
    <w:multiLevelType w:val="hybridMultilevel"/>
    <w:tmpl w:val="CB0E4B2C"/>
    <w:lvl w:ilvl="0" w:tplc="6B843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51C1F58"/>
    <w:multiLevelType w:val="hybridMultilevel"/>
    <w:tmpl w:val="61CA0B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0"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7"/>
  </w:num>
  <w:num w:numId="3">
    <w:abstractNumId w:val="16"/>
  </w:num>
  <w:num w:numId="4">
    <w:abstractNumId w:val="9"/>
  </w:num>
  <w:num w:numId="5">
    <w:abstractNumId w:val="10"/>
  </w:num>
  <w:num w:numId="6">
    <w:abstractNumId w:val="19"/>
  </w:num>
  <w:num w:numId="7">
    <w:abstractNumId w:val="12"/>
  </w:num>
  <w:num w:numId="8">
    <w:abstractNumId w:val="11"/>
  </w:num>
  <w:num w:numId="9">
    <w:abstractNumId w:val="2"/>
  </w:num>
  <w:num w:numId="10">
    <w:abstractNumId w:val="14"/>
  </w:num>
  <w:num w:numId="11">
    <w:abstractNumId w:val="18"/>
  </w:num>
  <w:num w:numId="12">
    <w:abstractNumId w:val="7"/>
  </w:num>
  <w:num w:numId="13">
    <w:abstractNumId w:val="8"/>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20"/>
  </w:num>
  <w:num w:numId="24">
    <w:abstractNumId w:val="3"/>
  </w:num>
  <w:num w:numId="25">
    <w:abstractNumId w:val="4"/>
  </w:num>
  <w:num w:numId="2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0EE"/>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1AAF"/>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50E"/>
    <w:rsid w:val="00156973"/>
    <w:rsid w:val="00156FB4"/>
    <w:rsid w:val="0015709F"/>
    <w:rsid w:val="001572C2"/>
    <w:rsid w:val="001573EE"/>
    <w:rsid w:val="00157FA1"/>
    <w:rsid w:val="00160577"/>
    <w:rsid w:val="001605B6"/>
    <w:rsid w:val="00160638"/>
    <w:rsid w:val="00160B11"/>
    <w:rsid w:val="00160D12"/>
    <w:rsid w:val="00161D9B"/>
    <w:rsid w:val="00161F67"/>
    <w:rsid w:val="00162582"/>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6DD9"/>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2E71"/>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BDB"/>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6A61"/>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4BD"/>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1FF"/>
    <w:rsid w:val="004115DA"/>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11"/>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5F93"/>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3FD2"/>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F34"/>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1B2F"/>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1DC6"/>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CC0"/>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9D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531"/>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ACD"/>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B7D2C"/>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65"/>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91"/>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D15"/>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AA5"/>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C6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3A1B"/>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2DC"/>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5DC"/>
    <w:rsid w:val="00AF0C96"/>
    <w:rsid w:val="00AF1458"/>
    <w:rsid w:val="00AF15E5"/>
    <w:rsid w:val="00AF1A08"/>
    <w:rsid w:val="00AF1BF0"/>
    <w:rsid w:val="00AF24EC"/>
    <w:rsid w:val="00AF2893"/>
    <w:rsid w:val="00AF2A87"/>
    <w:rsid w:val="00AF2CAF"/>
    <w:rsid w:val="00AF35B6"/>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90E"/>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066D"/>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497F"/>
    <w:rsid w:val="00C056E4"/>
    <w:rsid w:val="00C05B2A"/>
    <w:rsid w:val="00C05BE7"/>
    <w:rsid w:val="00C062BF"/>
    <w:rsid w:val="00C0723D"/>
    <w:rsid w:val="00C072B6"/>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785"/>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41D"/>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66A"/>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566"/>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C35"/>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5DE3"/>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5E8B"/>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493"/>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62"/>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1D31"/>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4F2"/>
    <w:rsid w:val="00F10F80"/>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5EB"/>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2B8"/>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0C5"/>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2AEC"/>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39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3C59-D804-443E-BB2A-F7A9C897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2016-09-30T14:02:00Z</dcterms:modified>
</cp:coreProperties>
</file>